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61" w:rsidRPr="00823E61" w:rsidRDefault="00823E61" w:rsidP="00823E61">
      <w:pPr>
        <w:spacing w:beforeAutospacing="1" w:afterAutospacing="1" w:line="240" w:lineRule="auto"/>
        <w:contextualSpacing/>
        <w:jc w:val="center"/>
        <w:rPr>
          <w:color w:val="000000" w:themeColor="text1"/>
        </w:rPr>
      </w:pPr>
      <w:hyperlink r:id="rId7" w:tooltip="ИНФОРМАЦИОННО-АНАЛИТИЧЕСКАЯ СПРАВКА О РАБОТЕ С ОБРАЩЕНИЯМИ ГРАЖДАН ЗА I ПОЛУГОДИЕ 2025 ГОДА" w:history="1">
        <w:r w:rsidRPr="00823E61">
          <w:rPr>
            <w:rStyle w:val="af2"/>
            <w:rFonts w:ascii="Montserrat" w:hAnsi="Montserrat"/>
            <w:color w:val="000000" w:themeColor="text1"/>
            <w:u w:val="none"/>
            <w:shd w:val="clear" w:color="auto" w:fill="FFFFFF"/>
          </w:rPr>
          <w:t>ИНФОРМАЦИОННО-АНАЛИТИЧЕСКАЯ СПРАВКА О РАБОТЕ С ОБРАЩЕНИЯМИ ГРАЖДАН ЗА I ПОЛУГОДИЕ 202</w:t>
        </w:r>
        <w:r>
          <w:rPr>
            <w:rStyle w:val="af2"/>
            <w:rFonts w:ascii="Montserrat" w:hAnsi="Montserrat"/>
            <w:color w:val="000000" w:themeColor="text1"/>
            <w:u w:val="none"/>
            <w:shd w:val="clear" w:color="auto" w:fill="FFFFFF"/>
          </w:rPr>
          <w:t>6</w:t>
        </w:r>
        <w:bookmarkStart w:id="0" w:name="_GoBack"/>
        <w:bookmarkEnd w:id="0"/>
        <w:r w:rsidRPr="00823E61">
          <w:rPr>
            <w:rStyle w:val="af2"/>
            <w:rFonts w:ascii="Montserrat" w:hAnsi="Montserrat"/>
            <w:color w:val="000000" w:themeColor="text1"/>
            <w:u w:val="none"/>
            <w:shd w:val="clear" w:color="auto" w:fill="FFFFFF"/>
          </w:rPr>
          <w:t xml:space="preserve"> ГОДА</w:t>
        </w:r>
      </w:hyperlink>
    </w:p>
    <w:p w:rsidR="00823E61" w:rsidRPr="00823E61" w:rsidRDefault="00823E61" w:rsidP="00823E61">
      <w:pPr>
        <w:spacing w:beforeAutospacing="1" w:afterAutospacing="1" w:line="240" w:lineRule="auto"/>
        <w:contextualSpacing/>
        <w:jc w:val="center"/>
        <w:rPr>
          <w:color w:val="000000" w:themeColor="text1"/>
        </w:rPr>
      </w:pPr>
    </w:p>
    <w:p w:rsidR="00602BE1" w:rsidRDefault="007F7B0A">
      <w:pPr>
        <w:spacing w:beforeAutospacing="1" w:afterAutospacing="1" w:line="240" w:lineRule="auto"/>
        <w:contextualSpacing/>
        <w:jc w:val="both"/>
      </w:pPr>
      <w:r>
        <w:rPr>
          <w:rFonts w:ascii="Fira Sans" w:eastAsia="Times New Roman" w:hAnsi="Fira Sans" w:cs="Times New Roman"/>
          <w:color w:val="49494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 обращениями граждан остаётся одним из приоритетных направлений деятельности Администрации городского округа Горловка Донецкой Народной Республики (далее — Администрация). Эффективное рассмотрение обращений и оперативное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вопросов, поставленных в них, являются важным фактором повышения доверия граждан к органам местного самоуправления и улучшения качества жизни в городе.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итогам работы в I полугодии 2026 года в Администрацию поступило 1246 обращений граждан, в которых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тронуто 1519 вопросов. По сравнению с аналогичным периодом I полугодия 2025 года количество обращений увеличилось на 28,32%, а количество вопросов — на 23,3%.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показал, что рост числа поступивших обращений обусловлен расширением возможностей для 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 по направлению обращений в государственные органы, органы местного самоуправления и к должностным лицам в электронной форме.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ключевых площадок взаимодействия стала Федеральная государственная информационная система "Единый портал государствен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муниципальных услуг (функций)" (далее - Платформа обратной связи). В течение I полугодия 2026 года через этот канал поступило 43,5% от общего числа обращений.</w:t>
      </w:r>
    </w:p>
    <w:p w:rsidR="00602BE1" w:rsidRDefault="00602BE1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BE1" w:rsidRDefault="00602BE1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59450" cy="3239770"/>
            <wp:effectExtent l="0" t="0" r="0" b="0"/>
            <wp:wrapSquare wrapText="largest"/>
            <wp:docPr id="1" name="Объект1" descr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602BE1" w:rsidRDefault="007F7B0A">
      <w:pPr>
        <w:spacing w:beforeAutospacing="1" w:afterAutospacing="1" w:line="240" w:lineRule="auto"/>
        <w:contextualSpacing/>
        <w:jc w:val="both"/>
      </w:pPr>
      <w:bookmarkStart w:id="1" w:name="_Hlk218711127"/>
      <w:bookmarkEnd w:id="1"/>
      <w:r>
        <w:rPr>
          <w:rFonts w:ascii="Nimbus Roman" w:hAnsi="Nimbus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I полугодием 2025 года, в I полугодии 2026 года значительно возросло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обращений, поступивших через цифровые платформы. В частности, количество обращений, поступивших через Платформу обратной связи, увеличилось на 15,81%. Количество устных обращений увеличилось на 46%, письменных — на 26,35%. Рост обращений через циф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ровые платформы свидетельствует об активном освоении гражданами электронных средств коммуникации, а увеличение числа письменных и устных обращений — о повышении правовой активности населения и актуальности вопросов, затрагиваемых заявителями.</w:t>
      </w:r>
    </w:p>
    <w:p w:rsidR="00602BE1" w:rsidRDefault="007F7B0A">
      <w:pPr>
        <w:spacing w:beforeAutospacing="1" w:afterAutospacing="1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Важным инстр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ументом поддержания диалога с населением является платформа Центра управления регионами «Инцидент-менеджмент», обеспечивающий мониторинг сообщений граждан в социальных сетях. Система в автоматическом режиме отслеживает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публикации в социальных сетях по ключ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евым</w:t>
      </w:r>
      <w:r>
        <w:rPr>
          <w:rFonts w:ascii="system-ui;ui-sans-serif;apple-s" w:hAnsi="system-ui;ui-sans-serif;apple-s"/>
          <w:color w:val="1D1D1F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 и запросам, выявляя наиболее острые проблемы и позволяя оценить общественные настроения. По итогам I полугодия 2026 года через систему «Инцидент-менеджмент» в Администрацию городского округа Горловка поступило 1607 сообщений, что на 2,23% 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чем в аналогичном периоде прошлого года (в I полугодии 2025 года — 1572 сообщения).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Осуществлялась работа с сообщениями граждан, поступившими через чат-бот Главы Донецкой Народной Республики, с использованием платформы «Битрикс_24». По итогам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I полугодия 2026 года через указанный канал связи поступило 70 сообщений, что на 37,5% меньше, чем в аналогичном периоде прошлого года (в I полугодии 2025 года — 112 сообщений).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итогам работы в информационной системе «ОНФ. Помощь» по рассмотрению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общений граждан, поступивших в ходе «Прямой линии с Президентом Российской Федерации» в 2025 году: поступило - 548 сообщений, из них: отработано — 445 сообщений,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рассмотрении — 66 сообщений, на дополнительном контроле - 37 сообщений.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Вопросы касались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жилищно-коммунальных услуг, восстановление разрушенного от артобстрела жилья, а также выплаты компенсации, социальных выплат, предоставления жилья взамен разрушенного, ремонт дорог, благоустройство, отлов бездомных животных и т. д.</w:t>
      </w:r>
    </w:p>
    <w:p w:rsidR="00602BE1" w:rsidRDefault="007F7B0A">
      <w:pPr>
        <w:spacing w:beforeAutospacing="1" w:afterAutospacing="1" w:line="240" w:lineRule="auto"/>
        <w:contextualSpacing/>
        <w:jc w:val="both"/>
      </w:pPr>
      <w: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дополнительном контр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осталось 11,45% вопросов (174), касающиеся благоустройства территории, уборки придомовой территории, ликвидации деревьев, неудовлетворительного водо-, тепло-, ремонта водоводов, ремонта внутридомовых коммуникаций, ремонта подъездов, межпанельных швов,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кровли, лифтов, отлов бездомных животных.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Следует отметить, что ряд вопросов, получивших низкую оценку граждан в течение I полугодия 2026 года, не может быть решён оперативно в силу объективных обстоятельств. Учащающиеся обстрелы территории городского окр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уга и активность беспилотных летательных аппаратов создают условия, при которых выполнение работ в ранее запланированные сроки становится невозможным. Однако, несмотря на сложную ситуацию, обслуживающие организации прилагают все усилия для минимизации посл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едствий разрушений: принимаются временные меры по восстановлению теплового контура зданий, выполняется ремонт кровель повреждённых многоквартирных домов. Плановые работы также ведутся в соответствии с утверждёнными графиками, о сроках выполнения которых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аждане информируются в индивидуальном порядке. После стабилизации обстановки и обеспечения безопасных условий производства работ, при условии целенаправленного выделения бюджетных ассигнований и определения подрядных организаций, будут выполнены полномасшт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абные восстановительные работы по указанным адресам.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обращения, поступающие на Платформу обратной связи, находятся на контроле в Администрации и будут выполнены в сроки, определяемые с учётом текущей обстановки в городе.</w:t>
      </w:r>
    </w:p>
    <w:p w:rsidR="00602BE1" w:rsidRDefault="007F7B0A">
      <w:pPr>
        <w:spacing w:beforeAutospacing="1" w:afterAutospacing="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5345" cy="298958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8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2BE1" w:rsidRDefault="007F7B0A">
      <w:pPr>
        <w:spacing w:beforeAutospacing="1" w:afterAutospacing="1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Подавляющее большинство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обращений, поступивших в Администрацию в течение            I полугодия 2026 года, относится к сфере жилищно-коммунального хозяйства — 69,2% от общего количества поднятых вопросов. По сравнению с I полугодием 2025 года: количество обращений по вопросам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мунального хозяйства увеличилось на 4,49%; количество обращений по вопросам жилищной политики увеличилось на 41,78%.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Кроме того, для граждан остаются актуальными вопросы транспортной инфраструктуры (0,6%), социальной сферы (16,06%), выдачи архивных справо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 трудовой деятельности (1,97%). По сравнению с I полугодием 2025 года количество обращений по вопросам социальной защиты населения увеличилось в 1,5 раза, в том числе по вопросам оказания гуманитарной помощи лицам, проживающим в пунктах временного разме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(ПВР).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вышестоящих органов власти в I полугодии 2026 года в Администрацию поступило 10,35% от общего количества поступивших обращений, в которых затронуто 12,31% от общего количества поступивших вопросов.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сравнении с аналогичным периодом I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угодия 2025 года количество обращений граждан, поступивших из вышестоящих органов, уменьшилось в 2,6 раза. Из общего количества вопросов, поднимаемых жителями в обращениях из вышестоящих органов, 68,45% составляют вопросы жилищно-коммунального характера.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сложные условия и сохраняющуюся угрозу обстрелов, на территории городского округа продолжаются работы по восстановлению объектов жизнеобеспечения. Обеспечивается устойчивое функционирование систем водоснабжения и водоотведения. Ведётся ремонт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 коммунальной инфраструктуры, имеющих критическое значение для жизнедеятельности города. Особое внимание уделяется восстановлению зданий и сооружений, пострадавших в результате боевых действий.</w:t>
      </w:r>
    </w:p>
    <w:p w:rsidR="00602BE1" w:rsidRDefault="007F7B0A">
      <w:p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результатам рассмотрения обращений: решено по сути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83,96%, на рассмотрении 10,16%, на дополнительном контроле 5,88%.</w:t>
      </w:r>
    </w:p>
    <w:p w:rsidR="00602BE1" w:rsidRDefault="007F7B0A">
      <w:pPr>
        <w:spacing w:beforeAutospacing="1" w:afterAutospacing="1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целью установления дополнительных гарантий права граждан на обращение и оперативного реагирования на проблемы жителей города проводились личные приёмы граждан руководителями и должностным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лицами Администрации согласно утвержденному</w:t>
      </w:r>
      <w:r>
        <w:rPr>
          <w:rFonts w:ascii="Nimbus Roman" w:hAnsi="Nimbus Roman"/>
          <w:sz w:val="24"/>
        </w:rPr>
        <w:t xml:space="preserve"> графику. </w:t>
      </w:r>
      <w:r>
        <w:rPr>
          <w:rFonts w:ascii="Nimbus Roman" w:eastAsia="Tahoma" w:hAnsi="Nimbus Roman" w:cs="Noto Sans Devanagari"/>
          <w:color w:val="000000"/>
          <w:sz w:val="24"/>
          <w:szCs w:val="20"/>
          <w:lang w:eastAsia="zh-CN" w:bidi="hi-IN"/>
        </w:rPr>
        <w:t>От общего количества поступивших обращений 11,47% поступило в ходе личных пр</w:t>
      </w:r>
      <w:r>
        <w:rPr>
          <w:rFonts w:ascii="Times New Roman" w:hAnsi="Times New Roman"/>
          <w:sz w:val="24"/>
          <w:szCs w:val="24"/>
          <w:lang w:eastAsia="ru-RU"/>
        </w:rPr>
        <w:t>иёмов; в них было поднято 14,81% вопросов от общего числа.</w:t>
      </w:r>
    </w:p>
    <w:p w:rsidR="00602BE1" w:rsidRDefault="007F7B0A">
      <w:pPr>
        <w:spacing w:beforeAutospacing="1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Значительная часть вопросов, поступивших на личных приёмах 95%, к</w:t>
      </w:r>
      <w:r>
        <w:rPr>
          <w:rFonts w:ascii="Times New Roman" w:hAnsi="Times New Roman"/>
          <w:sz w:val="24"/>
          <w:szCs w:val="24"/>
          <w:lang w:eastAsia="ru-RU"/>
        </w:rPr>
        <w:t xml:space="preserve">асалась жилищно-коммунального хозяйства. По сравнению с аналогичным периодом I полугодия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2025 года количество обращений по данной тематике увеличилось 61%.  </w:t>
      </w:r>
      <w:bookmarkStart w:id="2" w:name="_Hlk202771354_Копия_1"/>
      <w:r>
        <w:rPr>
          <w:rFonts w:ascii="Times New Roman" w:hAnsi="Times New Roman"/>
          <w:sz w:val="24"/>
          <w:szCs w:val="24"/>
          <w:lang w:eastAsia="ru-RU"/>
        </w:rPr>
        <w:t>По итогам рассмотрения устных вопросов: решено по сути 70,23%, на рассмотрении 14,66%, на дополните</w:t>
      </w:r>
      <w:r>
        <w:rPr>
          <w:rFonts w:ascii="Times New Roman" w:hAnsi="Times New Roman"/>
          <w:sz w:val="24"/>
          <w:szCs w:val="24"/>
          <w:lang w:eastAsia="ru-RU"/>
        </w:rPr>
        <w:t>льном контроле 15,11%</w:t>
      </w:r>
      <w:bookmarkEnd w:id="2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02BE1" w:rsidRDefault="007F7B0A">
      <w:pPr>
        <w:spacing w:beforeAutospacing="1" w:afterAutospacing="1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ab/>
        <w:t>Также в I полугодии 2026 года должностными лицами Администрации проводились встречи с населением, являющиеся важным инструментом обеспечения прозрачности управления, учёта общественного мнения и оперативного решения возникающих проб</w:t>
      </w:r>
      <w:r>
        <w:rPr>
          <w:rFonts w:ascii="Times New Roman" w:hAnsi="Times New Roman"/>
          <w:sz w:val="24"/>
          <w:szCs w:val="24"/>
          <w:lang w:eastAsia="ru-RU"/>
        </w:rPr>
        <w:t>лем. Анализ проведённых встреч позволяет выявить ключевые тенденции, оценить эффективность взаимодействия и определить направления для дальнейшего совершенствования работы.</w:t>
      </w:r>
    </w:p>
    <w:p w:rsidR="00602BE1" w:rsidRDefault="007F7B0A">
      <w:pPr>
        <w:spacing w:beforeAutospacing="1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 течение отчётного периода проведено 1039 встреч с населением и трудовыми коллект</w:t>
      </w:r>
      <w:r>
        <w:rPr>
          <w:rFonts w:ascii="Times New Roman" w:hAnsi="Times New Roman"/>
          <w:sz w:val="24"/>
          <w:szCs w:val="24"/>
          <w:lang w:eastAsia="ru-RU"/>
        </w:rPr>
        <w:t>ивами предприятий и организаций города Горловки, на которых присутствовало 9832 человека и рассмотрено 2110 вопросов.</w:t>
      </w:r>
    </w:p>
    <w:p w:rsidR="00602BE1" w:rsidRDefault="007F7B0A">
      <w:pPr>
        <w:spacing w:beforeAutospacing="1" w:afterAutospacing="1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ab/>
        <w:t>Особое внимание в отчетном периоде уделялось вопросам жилищно-коммунального хозяйства. Жители активно высказывали свои пожелания и замеча</w:t>
      </w:r>
      <w:r>
        <w:rPr>
          <w:rFonts w:ascii="Times New Roman" w:hAnsi="Times New Roman"/>
          <w:sz w:val="24"/>
          <w:szCs w:val="24"/>
          <w:lang w:eastAsia="ru-RU"/>
        </w:rPr>
        <w:t>ния относительно качества предоставляемых услуг, состояния жилого фонда и благоустройства придомовых</w:t>
      </w:r>
      <w:r>
        <w:rPr>
          <w:rFonts w:ascii="Times New Roman" w:eastAsia="Tahoma" w:hAnsi="Times New Roman" w:cs="Noto Sans Devanagari"/>
          <w:color w:val="000000"/>
          <w:sz w:val="24"/>
          <w:szCs w:val="20"/>
          <w:lang w:eastAsia="zh-CN" w:bidi="hi-IN"/>
        </w:rPr>
        <w:t xml:space="preserve"> территорий, в</w:t>
      </w:r>
      <w:r>
        <w:rPr>
          <w:rFonts w:ascii="Times New Roman" w:eastAsia="Tahoma" w:hAnsi="Times New Roman" w:cs="Noto Sans Devanagari"/>
          <w:color w:val="000000"/>
          <w:sz w:val="24"/>
          <w:lang w:eastAsia="zh-CN" w:bidi="hi-IN"/>
        </w:rPr>
        <w:t>одоснабжения. Должностными лицами были даны разъяснения по текущим ремонтны</w:t>
      </w:r>
      <w:r>
        <w:rPr>
          <w:rFonts w:ascii="Times New Roman" w:hAnsi="Times New Roman"/>
          <w:sz w:val="24"/>
          <w:szCs w:val="24"/>
          <w:lang w:eastAsia="ru-RU"/>
        </w:rPr>
        <w:t>м работам, графикам уборки и перспективам развития инфраструктуры.</w:t>
      </w:r>
    </w:p>
    <w:p w:rsidR="00602BE1" w:rsidRDefault="007F7B0A">
      <w:pPr>
        <w:spacing w:beforeAutospacing="1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Вопросы благоустройства городской среды также занимали значительное место в повестке встреч. Обсуждались темы озеленения, обновления детских площадок. Администрация приняла к сведению предложения жителей и запланировала ряд мероприятий по улучшению комфор</w:t>
      </w:r>
      <w:r>
        <w:rPr>
          <w:rFonts w:ascii="Times New Roman" w:hAnsi="Times New Roman"/>
          <w:sz w:val="24"/>
          <w:szCs w:val="24"/>
          <w:lang w:eastAsia="ru-RU"/>
        </w:rPr>
        <w:t>та проживания в округе.</w:t>
      </w:r>
    </w:p>
    <w:p w:rsidR="00602BE1" w:rsidRDefault="007F7B0A">
      <w:pPr>
        <w:spacing w:beforeAutospacing="1" w:afterAutospacing="1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ab/>
        <w:t>В целом, встречи с населением позволили установ</w:t>
      </w:r>
      <w:r>
        <w:rPr>
          <w:rFonts w:ascii="Times New Roman" w:hAnsi="Times New Roman"/>
          <w:sz w:val="24"/>
        </w:rPr>
        <w:t>ить конструктивный диалог между Администрацией и жителями, выявить наиболее острые проблемы и наметить пути их решения. Полученная информация будет учтена при формировании планов разви</w:t>
      </w:r>
      <w:r>
        <w:rPr>
          <w:rFonts w:ascii="Times New Roman" w:hAnsi="Times New Roman"/>
          <w:sz w:val="24"/>
        </w:rPr>
        <w:t>тия городского округа на последующие периоды. Важным фактором является также информационная открытость и доступность информации о деятельности Администрации.</w:t>
      </w:r>
    </w:p>
    <w:p w:rsidR="00602BE1" w:rsidRDefault="007F7B0A">
      <w:pPr>
        <w:spacing w:beforeAutospacing="1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Работа по рассмотрению обращений граждан в администрации городского округа Горловка Донецкой Наро</w:t>
      </w:r>
      <w:r>
        <w:rPr>
          <w:rFonts w:ascii="Times New Roman" w:hAnsi="Times New Roman"/>
          <w:sz w:val="24"/>
        </w:rPr>
        <w:t>дной Республики ведётся в соответствии с действующим законодательством.</w:t>
      </w:r>
    </w:p>
    <w:sectPr w:rsidR="00602BE1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B0A" w:rsidRDefault="007F7B0A">
      <w:pPr>
        <w:spacing w:after="0" w:line="240" w:lineRule="auto"/>
      </w:pPr>
      <w:r>
        <w:separator/>
      </w:r>
    </w:p>
  </w:endnote>
  <w:endnote w:type="continuationSeparator" w:id="0">
    <w:p w:rsidR="007F7B0A" w:rsidRDefault="007F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Fira Sans">
    <w:altName w:val="Arial"/>
    <w:charset w:val="01"/>
    <w:family w:val="swiss"/>
    <w:pitch w:val="default"/>
  </w:font>
  <w:font w:name="Nimbus Roman">
    <w:altName w:val="Times New Roman"/>
    <w:charset w:val="01"/>
    <w:family w:val="roman"/>
    <w:pitch w:val="default"/>
  </w:font>
  <w:font w:name="system-ui;ui-sans-serif;apple-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B0A" w:rsidRDefault="007F7B0A">
      <w:pPr>
        <w:spacing w:after="0" w:line="240" w:lineRule="auto"/>
      </w:pPr>
      <w:r>
        <w:separator/>
      </w:r>
    </w:p>
  </w:footnote>
  <w:footnote w:type="continuationSeparator" w:id="0">
    <w:p w:rsidR="007F7B0A" w:rsidRDefault="007F7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E1" w:rsidRDefault="00602BE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562003"/>
      <w:docPartObj>
        <w:docPartGallery w:val="Page Numbers (Top of Page)"/>
        <w:docPartUnique/>
      </w:docPartObj>
    </w:sdtPr>
    <w:sdtEndPr/>
    <w:sdtContent>
      <w:p w:rsidR="00602BE1" w:rsidRDefault="00602BE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602BE1" w:rsidRDefault="007F7B0A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23E61">
          <w:rPr>
            <w:noProof/>
          </w:rPr>
          <w:t>2</w:t>
        </w:r>
        <w:r>
          <w:fldChar w:fldCharType="end"/>
        </w:r>
      </w:p>
    </w:sdtContent>
  </w:sdt>
  <w:p w:rsidR="00602BE1" w:rsidRDefault="00602BE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BE1" w:rsidRDefault="00602BE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E1"/>
    <w:rsid w:val="00602BE1"/>
    <w:rsid w:val="007F7B0A"/>
    <w:rsid w:val="0082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D3C9"/>
  <w15:docId w15:val="{29D0D9C5-1B1E-4160-87C9-4FED4642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qFormat/>
    <w:rsid w:val="00100C04"/>
  </w:style>
  <w:style w:type="character" w:customStyle="1" w:styleId="HTML">
    <w:name w:val="Стандартный HTML Знак"/>
    <w:basedOn w:val="a0"/>
    <w:link w:val="HTML0"/>
    <w:qFormat/>
    <w:rsid w:val="00C70B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3">
    <w:name w:val="Основной текст Знак"/>
    <w:basedOn w:val="a0"/>
    <w:link w:val="a4"/>
    <w:qFormat/>
    <w:rsid w:val="00E0747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6790B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0A43D3"/>
  </w:style>
  <w:style w:type="character" w:customStyle="1" w:styleId="a9">
    <w:name w:val="Нижний колонтитул Знак"/>
    <w:basedOn w:val="a0"/>
    <w:link w:val="aa"/>
    <w:uiPriority w:val="99"/>
    <w:qFormat/>
    <w:rsid w:val="000A43D3"/>
  </w:style>
  <w:style w:type="paragraph" w:styleId="ab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E074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unhideWhenUsed/>
    <w:qFormat/>
    <w:rsid w:val="00B45B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HTML0">
    <w:name w:val="HTML Preformatted"/>
    <w:basedOn w:val="a"/>
    <w:link w:val="HTML"/>
    <w:qFormat/>
    <w:rsid w:val="00C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Normal (Web)"/>
    <w:basedOn w:val="a"/>
    <w:uiPriority w:val="99"/>
    <w:unhideWhenUsed/>
    <w:qFormat/>
    <w:rsid w:val="00C33776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6790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ormalWeb111">
    <w:name w:val="Normal (Web)111"/>
    <w:basedOn w:val="a"/>
    <w:qFormat/>
    <w:pPr>
      <w:spacing w:beforeAutospacing="1" w:afterAutospacing="1"/>
    </w:pPr>
  </w:style>
  <w:style w:type="paragraph" w:customStyle="1" w:styleId="HTMLPreformatted111">
    <w:name w:val="HTML Preformatted11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1">
    <w:name w:val="Table Grid"/>
    <w:basedOn w:val="a1"/>
    <w:rsid w:val="00E44A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823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rlovka-r897.gosweb.gosuslugi.ru/ofitsialno/dokumenty/otchety-po-rabote-s-obrascheniyami-grazhdan/dokumenty-omsu_709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c:style val="2"/>
  <c:chart>
    <c:autoTitleDeleted val="1"/>
    <c:view3D>
      <c:rotX val="11"/>
      <c:rotY val="25"/>
      <c:rAngAx val="1"/>
    </c:view3D>
    <c:floor>
      <c:thickness val="0"/>
      <c:spPr>
        <a:solidFill>
          <a:srgbClr val="CCCCCC"/>
        </a:solidFill>
        <a:ln w="0">
          <a:noFill/>
        </a:ln>
      </c:spPr>
    </c:floor>
    <c:sideWall>
      <c:thickness val="0"/>
      <c:spPr>
        <a:noFill/>
        <a:ln w="0">
          <a:solidFill>
            <a:srgbClr val="B3B3B3"/>
          </a:solidFill>
        </a:ln>
      </c:spPr>
    </c:sideWall>
    <c:backWall>
      <c:thickness val="0"/>
      <c:spPr>
        <a:noFill/>
        <a:ln w="0">
          <a:solidFill>
            <a:srgbClr val="B3B3B3"/>
          </a:solidFill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I полугодие 2025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u="none" strike="noStrike">
                    <a:solidFill>
                      <a:srgbClr val="000000"/>
                    </a:solidFill>
                    <a:uFillTx/>
                    <a:latin typeface="Arial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0">
                      <a:solidFill>
                        <a:srgbClr val="000000"/>
                      </a:solidFill>
                    </a:ln>
                  </c:spPr>
                </c15:leaderLines>
              </c:ext>
            </c:extLst>
          </c:dLbls>
          <c:cat>
            <c:strRef>
              <c:f>categories</c:f>
              <c:strCache>
                <c:ptCount val="6"/>
                <c:pt idx="0">
                  <c:v>ПОС</c:v>
                </c:pt>
                <c:pt idx="1">
                  <c:v>ЦУР</c:v>
                </c:pt>
                <c:pt idx="2">
                  <c:v>БИТРИКС_24</c:v>
                </c:pt>
                <c:pt idx="3">
                  <c:v>ОНФ Помощь</c:v>
                </c:pt>
                <c:pt idx="4">
                  <c:v>Устные</c:v>
                </c:pt>
                <c:pt idx="5">
                  <c:v>Письменные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468</c:v>
                </c:pt>
                <c:pt idx="1">
                  <c:v>1572</c:v>
                </c:pt>
                <c:pt idx="2">
                  <c:v>112</c:v>
                </c:pt>
                <c:pt idx="3">
                  <c:v>558</c:v>
                </c:pt>
                <c:pt idx="4">
                  <c:v>98</c:v>
                </c:pt>
                <c:pt idx="5">
                  <c:v>873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31-4D74-8BEC-99E73C9CFD54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I полугодие 2026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u="none" strike="noStrike">
                    <a:solidFill>
                      <a:srgbClr val="000000"/>
                    </a:solidFill>
                    <a:uFillTx/>
                    <a:latin typeface="Arial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0">
                      <a:solidFill>
                        <a:srgbClr val="000000"/>
                      </a:solidFill>
                    </a:ln>
                  </c:spPr>
                </c15:leaderLines>
              </c:ext>
            </c:extLst>
          </c:dLbls>
          <c:cat>
            <c:strRef>
              <c:f>categories</c:f>
              <c:strCache>
                <c:ptCount val="6"/>
                <c:pt idx="0">
                  <c:v>ПОС</c:v>
                </c:pt>
                <c:pt idx="1">
                  <c:v>ЦУР</c:v>
                </c:pt>
                <c:pt idx="2">
                  <c:v>БИТРИКС_24</c:v>
                </c:pt>
                <c:pt idx="3">
                  <c:v>ОНФ Помощь</c:v>
                </c:pt>
                <c:pt idx="4">
                  <c:v>Устные</c:v>
                </c:pt>
                <c:pt idx="5">
                  <c:v>Письменные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542</c:v>
                </c:pt>
                <c:pt idx="1">
                  <c:v>1607</c:v>
                </c:pt>
                <c:pt idx="2">
                  <c:v>70</c:v>
                </c:pt>
                <c:pt idx="3">
                  <c:v>548</c:v>
                </c:pt>
                <c:pt idx="4">
                  <c:v>143</c:v>
                </c:pt>
                <c:pt idx="5">
                  <c:v>1103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31-4D74-8BEC-99E73C9CFD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81611581"/>
        <c:axId val="14303148"/>
        <c:axId val="0"/>
      </c:bar3DChart>
      <c:catAx>
        <c:axId val="81611581"/>
        <c:scaling>
          <c:orientation val="minMax"/>
        </c:scaling>
        <c:delete val="0"/>
        <c:axPos val="b"/>
        <c:numFmt formatCode="[$-419]dd/mm/yyyy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Arial"/>
              </a:defRPr>
            </a:pPr>
            <a:endParaRPr lang="ru-RU"/>
          </a:p>
        </c:txPr>
        <c:crossAx val="14303148"/>
        <c:crosses val="autoZero"/>
        <c:auto val="1"/>
        <c:lblAlgn val="ctr"/>
        <c:lblOffset val="100"/>
        <c:noMultiLvlLbl val="0"/>
      </c:catAx>
      <c:valAx>
        <c:axId val="143031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1611581"/>
        <c:crosses val="autoZero"/>
        <c:crossBetween val="between"/>
      </c:valAx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u="none" strike="noStrike">
              <a:solidFill>
                <a:srgbClr val="000000"/>
              </a:solidFill>
              <a:uFillTx/>
              <a:latin typeface="Arial"/>
            </a:defRPr>
          </a:pPr>
          <a:endParaRPr lang="ru-RU"/>
        </a:p>
      </c:txPr>
    </c:legend>
    <c:plotVisOnly val="1"/>
    <c:dispBlanksAs val="gap"/>
    <c:showDLblsOverMax val="1"/>
  </c:chart>
  <c:spPr>
    <a:noFill/>
    <a:ln w="0"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2000"/>
              </a:schemeClr>
            </a:gs>
            <a:gs pos="65000">
              <a:schemeClr val="phClr">
                <a:tint val="32000"/>
              </a:schemeClr>
            </a:gs>
            <a:gs pos="100000">
              <a:schemeClr val="phClr">
                <a:tint val="23000"/>
              </a:schemeClr>
            </a:gs>
          </a:gsLst>
          <a:lin ang="16200000" scaled="0"/>
          <a:tileRect/>
        </a:gradFill>
        <a:gradFill>
          <a:gsLst>
            <a:gs pos="0">
              <a:schemeClr val="phClr">
                <a:shade val="15000"/>
              </a:schemeClr>
            </a:gs>
            <a:gs pos="50000">
              <a:schemeClr val="phClr">
                <a:shade val="45000"/>
              </a:schemeClr>
            </a:gs>
            <a:gs pos="70000">
              <a:schemeClr val="phClr">
                <a:tint val="99000"/>
                <a:shade val="65000"/>
              </a:schemeClr>
            </a:gs>
            <a:gs pos="100000">
              <a:schemeClr val="phClr">
                <a:tint val="95500"/>
                <a:shade val="100000"/>
              </a:schemeClr>
            </a:gs>
          </a:gsLst>
          <a:lin ang="16200000" scaled="0"/>
          <a:tileRect/>
        </a:gradFill>
      </a:fillStyleLst>
      <a:lnStyleLst>
        <a:ln w="12700" cap="flat" cmpd="sng" algn="ctr">
          <a:prstDash val="solid"/>
        </a:ln>
        <a:ln w="55000" cap="flat" cmpd="thickThin" algn="ctr">
          <a:prstDash val="solid"/>
        </a:ln>
        <a:ln w="508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99910-62F9-42FA-93CB-8DA76050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4</Pages>
  <Words>1435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dc:description/>
  <cp:lastModifiedBy>MSI</cp:lastModifiedBy>
  <cp:revision>149</cp:revision>
  <cp:lastPrinted>2026-04-03T12:04:00Z</cp:lastPrinted>
  <dcterms:created xsi:type="dcterms:W3CDTF">2025-10-06T12:59:00Z</dcterms:created>
  <dcterms:modified xsi:type="dcterms:W3CDTF">2026-07-08T07:01:00Z</dcterms:modified>
  <dc:language>ru-RU</dc:language>
</cp:coreProperties>
</file>